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5" w:rsidRDefault="00F76A92" w:rsidP="00F76A92">
      <w:pPr>
        <w:autoSpaceDE w:val="0"/>
        <w:autoSpaceDN w:val="0"/>
        <w:adjustRightInd w:val="0"/>
        <w:spacing w:after="200"/>
        <w:jc w:val="center"/>
        <w:rPr>
          <w:rFonts w:ascii="Calibri" w:hAnsi="Calibri"/>
          <w:bCs/>
          <w:color w:val="000000"/>
          <w:sz w:val="22"/>
          <w:szCs w:val="28"/>
        </w:rPr>
      </w:pPr>
      <w:r>
        <w:rPr>
          <w:b/>
          <w:sz w:val="32"/>
          <w:szCs w:val="32"/>
        </w:rPr>
        <w:t xml:space="preserve"> </w:t>
      </w:r>
    </w:p>
    <w:p w:rsidR="00A81A85" w:rsidRDefault="00A81A85" w:rsidP="00A81A85">
      <w:pPr>
        <w:autoSpaceDE w:val="0"/>
        <w:autoSpaceDN w:val="0"/>
        <w:adjustRightInd w:val="0"/>
        <w:spacing w:after="200"/>
        <w:rPr>
          <w:rFonts w:ascii="Calibri" w:hAnsi="Calibri"/>
          <w:bCs/>
          <w:color w:val="000000"/>
          <w:sz w:val="22"/>
          <w:szCs w:val="28"/>
        </w:rPr>
      </w:pPr>
    </w:p>
    <w:p w:rsidR="00A81A85" w:rsidRDefault="00A81A85" w:rsidP="00A81A85">
      <w:pPr>
        <w:autoSpaceDE w:val="0"/>
        <w:autoSpaceDN w:val="0"/>
        <w:adjustRightInd w:val="0"/>
        <w:spacing w:after="200"/>
        <w:rPr>
          <w:rFonts w:ascii="Calibri" w:hAnsi="Calibri"/>
          <w:bCs/>
          <w:color w:val="000000"/>
          <w:sz w:val="22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horzAnchor="margin" w:tblpY="47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1A85" w:rsidTr="00A81A85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85" w:rsidRDefault="00A81A8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</w:p>
          <w:p w:rsidR="00A81A85" w:rsidRDefault="00A81A85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Извлечение из ФГОС </w:t>
            </w:r>
            <w:proofErr w:type="gramStart"/>
            <w:r>
              <w:rPr>
                <w:rFonts w:ascii="Bookman Old Style" w:hAnsi="Bookman Old Style"/>
                <w:b/>
                <w:bCs/>
                <w:color w:val="000000"/>
              </w:rPr>
              <w:t>ДО</w:t>
            </w:r>
            <w:proofErr w:type="gramEnd"/>
            <w:r>
              <w:rPr>
                <w:rFonts w:ascii="Bookman Old Style" w:hAnsi="Bookman Old Style"/>
                <w:b/>
                <w:bCs/>
                <w:color w:val="000000"/>
              </w:rPr>
              <w:t>:</w:t>
            </w:r>
          </w:p>
          <w:p w:rsidR="00A81A85" w:rsidRDefault="00A81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color w:val="000000"/>
              </w:rPr>
            </w:pPr>
          </w:p>
          <w:p w:rsidR="00A81A85" w:rsidRDefault="00A81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/>
              </w:rPr>
              <w:t>3.2.3.</w:t>
            </w:r>
            <w:r>
              <w:rPr>
                <w:rFonts w:ascii="Bookman Old Style" w:hAnsi="Bookman Old Style"/>
                <w:bCs/>
                <w:color w:val="000000"/>
              </w:rPr>
              <w:t xml:space="preserve">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A81A85" w:rsidRDefault="00A81A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Результаты педагогической диагностики (мониторинга) могут использоваться исключительно для решения следующих образовательных задач:</w:t>
            </w:r>
          </w:p>
          <w:p w:rsidR="00A81A85" w:rsidRDefault="00A81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A81A85" w:rsidRDefault="00A81A8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2) оптимизации работы с группой детей.</w:t>
            </w:r>
          </w:p>
          <w:p w:rsidR="00A81A85" w:rsidRDefault="00A81A8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color w:val="000000"/>
              </w:rPr>
            </w:pPr>
          </w:p>
        </w:tc>
      </w:tr>
    </w:tbl>
    <w:p w:rsidR="00A81A85" w:rsidRDefault="00A81A85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</w:p>
    <w:p w:rsidR="00A81A85" w:rsidRDefault="00A81A85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Данные таблицы проведения педагогической диагностики разработаны с учётом ФГОС ДО и индивидуального подхода  к воспитанникам. Педагогу, проводящему диагностику, при оценке умений, интересов, предпочтений, склонностей, личностных и поведенческих особенностей ребёнка необходимо использовать метод наблюдения, свободные беседы с детьми. В качестве дополнительных методов используются:  анализ продуктов детской деятельности, специальные диагностические ситуации.</w:t>
      </w:r>
    </w:p>
    <w:p w:rsidR="00501D49" w:rsidRDefault="00A81A85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Диагностика проводится 2 раза в год.</w:t>
      </w:r>
    </w:p>
    <w:p w:rsidR="00A81A85" w:rsidRDefault="00A81A85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Педагогам предлагается использовать буквенное обозначение уровней: </w:t>
      </w:r>
      <w:proofErr w:type="gramStart"/>
      <w:r>
        <w:rPr>
          <w:rFonts w:ascii="Bookman Old Style" w:hAnsi="Bookman Old Style"/>
        </w:rPr>
        <w:t>низкий</w:t>
      </w:r>
      <w:proofErr w:type="gramEnd"/>
      <w:r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  <w:b/>
        </w:rPr>
        <w:t>Н</w:t>
      </w:r>
      <w:r>
        <w:rPr>
          <w:rFonts w:ascii="Bookman Old Style" w:hAnsi="Bookman Old Style"/>
        </w:rPr>
        <w:t>), средний (</w:t>
      </w:r>
      <w:r>
        <w:rPr>
          <w:rFonts w:ascii="Bookman Old Style" w:hAnsi="Bookman Old Style"/>
          <w:b/>
        </w:rPr>
        <w:t>С</w:t>
      </w:r>
      <w:r>
        <w:rPr>
          <w:rFonts w:ascii="Bookman Old Style" w:hAnsi="Bookman Old Style"/>
        </w:rPr>
        <w:t>), высокий (</w:t>
      </w:r>
      <w:r>
        <w:rPr>
          <w:rFonts w:ascii="Bookman Old Style" w:hAnsi="Bookman Old Style"/>
          <w:b/>
        </w:rPr>
        <w:t>В</w:t>
      </w:r>
      <w:r>
        <w:rPr>
          <w:rFonts w:ascii="Bookman Old Style" w:hAnsi="Bookman Old Style"/>
        </w:rPr>
        <w:t>)</w:t>
      </w:r>
    </w:p>
    <w:p w:rsidR="00652AAE" w:rsidRDefault="00A81A85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Низкий-1балл, Средний-2балла, Высокий-3балла. </w:t>
      </w:r>
    </w:p>
    <w:p w:rsidR="00A81A85" w:rsidRDefault="00F321DC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Затем про</w:t>
      </w:r>
      <w:r w:rsidR="00A81A85">
        <w:rPr>
          <w:rFonts w:ascii="Bookman Old Style" w:hAnsi="Bookman Old Style"/>
        </w:rPr>
        <w:t>водится подсчет по Образовательной области, данные заносятся в таблицу</w:t>
      </w:r>
      <w:r>
        <w:rPr>
          <w:rFonts w:ascii="Bookman Old Style" w:hAnsi="Bookman Old Style"/>
        </w:rPr>
        <w:t xml:space="preserve"> по каждому ребенку.</w:t>
      </w:r>
    </w:p>
    <w:p w:rsidR="00652AAE" w:rsidRPr="00C14330" w:rsidRDefault="00652AAE" w:rsidP="00501D49">
      <w:pPr>
        <w:rPr>
          <w:b/>
          <w:i/>
          <w:sz w:val="28"/>
          <w:szCs w:val="28"/>
        </w:rPr>
      </w:pPr>
      <w:r w:rsidRPr="00C14330">
        <w:rPr>
          <w:b/>
          <w:i/>
          <w:sz w:val="28"/>
          <w:szCs w:val="28"/>
        </w:rPr>
        <w:t>Сводная таблица результатов педагогической диагностики</w:t>
      </w:r>
    </w:p>
    <w:p w:rsidR="00652AAE" w:rsidRPr="00C14330" w:rsidRDefault="00652AAE" w:rsidP="00652AAE">
      <w:pPr>
        <w:jc w:val="right"/>
        <w:rPr>
          <w:b/>
          <w:i/>
          <w:sz w:val="28"/>
          <w:szCs w:val="28"/>
        </w:rPr>
      </w:pPr>
      <w:r w:rsidRPr="00C14330">
        <w:rPr>
          <w:b/>
          <w:i/>
          <w:sz w:val="28"/>
          <w:szCs w:val="28"/>
        </w:rPr>
        <w:t>________________________________________   группы</w:t>
      </w:r>
    </w:p>
    <w:p w:rsidR="00652AAE" w:rsidRDefault="00652AAE" w:rsidP="00652AAE">
      <w:pPr>
        <w:jc w:val="right"/>
        <w:rPr>
          <w:rFonts w:ascii="Bookman Old Style" w:hAnsi="Bookman Old Style"/>
          <w:b/>
          <w:i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99"/>
        <w:gridCol w:w="995"/>
        <w:gridCol w:w="1063"/>
        <w:gridCol w:w="955"/>
        <w:gridCol w:w="1020"/>
        <w:gridCol w:w="594"/>
        <w:gridCol w:w="645"/>
        <w:gridCol w:w="983"/>
        <w:gridCol w:w="1049"/>
        <w:gridCol w:w="748"/>
        <w:gridCol w:w="807"/>
      </w:tblGrid>
      <w:tr w:rsidR="00652AAE" w:rsidTr="00C14330">
        <w:trPr>
          <w:trHeight w:val="641"/>
        </w:trPr>
        <w:tc>
          <w:tcPr>
            <w:tcW w:w="1999" w:type="dxa"/>
            <w:vMerge w:val="restart"/>
          </w:tcPr>
          <w:p w:rsidR="00652AAE" w:rsidRPr="001559E4" w:rsidRDefault="00652AAE" w:rsidP="00694F73">
            <w:pPr>
              <w:jc w:val="center"/>
            </w:pPr>
            <w:r w:rsidRPr="001559E4">
              <w:t>Имя, фамилия ребёнка</w:t>
            </w:r>
          </w:p>
          <w:p w:rsidR="00652AAE" w:rsidRPr="001559E4" w:rsidRDefault="00C14330" w:rsidP="00694F73">
            <w:pPr>
              <w:jc w:val="center"/>
              <w:rPr>
                <w:i/>
              </w:rPr>
            </w:pPr>
            <w:r>
              <w:t xml:space="preserve"> </w:t>
            </w:r>
          </w:p>
        </w:tc>
        <w:tc>
          <w:tcPr>
            <w:tcW w:w="2058" w:type="dxa"/>
            <w:gridSpan w:val="2"/>
          </w:tcPr>
          <w:p w:rsidR="00652AAE" w:rsidRPr="001559E4" w:rsidRDefault="00652AAE" w:rsidP="00694F73">
            <w:pPr>
              <w:jc w:val="center"/>
            </w:pPr>
            <w:r w:rsidRPr="001559E4">
              <w:t>ОО «Социально-коммуникативное развитие»</w:t>
            </w:r>
          </w:p>
          <w:p w:rsidR="00652AAE" w:rsidRPr="001559E4" w:rsidRDefault="00652AAE" w:rsidP="00694F73">
            <w:pPr>
              <w:jc w:val="right"/>
              <w:rPr>
                <w:i/>
              </w:rPr>
            </w:pPr>
          </w:p>
        </w:tc>
        <w:tc>
          <w:tcPr>
            <w:tcW w:w="1975" w:type="dxa"/>
            <w:gridSpan w:val="2"/>
          </w:tcPr>
          <w:p w:rsidR="00652AAE" w:rsidRPr="001559E4" w:rsidRDefault="00652AAE" w:rsidP="00694F73">
            <w:pPr>
              <w:jc w:val="center"/>
            </w:pPr>
            <w:r w:rsidRPr="001559E4">
              <w:t>ОО «Познавательное развитие»</w:t>
            </w:r>
          </w:p>
          <w:p w:rsidR="00652AAE" w:rsidRPr="001559E4" w:rsidRDefault="00652AAE" w:rsidP="00694F73">
            <w:pPr>
              <w:jc w:val="right"/>
              <w:rPr>
                <w:i/>
              </w:rPr>
            </w:pPr>
          </w:p>
        </w:tc>
        <w:tc>
          <w:tcPr>
            <w:tcW w:w="1239" w:type="dxa"/>
            <w:gridSpan w:val="2"/>
          </w:tcPr>
          <w:p w:rsidR="00652AAE" w:rsidRPr="001559E4" w:rsidRDefault="00652AAE" w:rsidP="00694F73">
            <w:pPr>
              <w:jc w:val="center"/>
              <w:rPr>
                <w:i/>
              </w:rPr>
            </w:pPr>
            <w:r w:rsidRPr="001559E4">
              <w:t>ОО «Речевое развитие»</w:t>
            </w:r>
          </w:p>
        </w:tc>
        <w:tc>
          <w:tcPr>
            <w:tcW w:w="2032" w:type="dxa"/>
            <w:gridSpan w:val="2"/>
          </w:tcPr>
          <w:p w:rsidR="00652AAE" w:rsidRPr="001559E4" w:rsidRDefault="00652AAE" w:rsidP="00694F73">
            <w:pPr>
              <w:jc w:val="center"/>
            </w:pPr>
            <w:r w:rsidRPr="001559E4">
              <w:t>ОО «Художественно-эстетическое развитие»</w:t>
            </w:r>
          </w:p>
          <w:p w:rsidR="00652AAE" w:rsidRPr="001559E4" w:rsidRDefault="00652AAE" w:rsidP="00694F73">
            <w:pPr>
              <w:jc w:val="center"/>
              <w:rPr>
                <w:i/>
              </w:rPr>
            </w:pPr>
          </w:p>
        </w:tc>
        <w:tc>
          <w:tcPr>
            <w:tcW w:w="1555" w:type="dxa"/>
            <w:gridSpan w:val="2"/>
          </w:tcPr>
          <w:p w:rsidR="00652AAE" w:rsidRPr="001559E4" w:rsidRDefault="00652AAE" w:rsidP="00694F73">
            <w:pPr>
              <w:jc w:val="center"/>
            </w:pPr>
            <w:r w:rsidRPr="001559E4">
              <w:rPr>
                <w:i/>
              </w:rPr>
              <w:t xml:space="preserve">ОО </w:t>
            </w:r>
            <w:r w:rsidRPr="001559E4">
              <w:t>«Физическое развитие»</w:t>
            </w:r>
          </w:p>
          <w:p w:rsidR="00652AAE" w:rsidRPr="001559E4" w:rsidRDefault="00652AAE" w:rsidP="00694F73">
            <w:pPr>
              <w:jc w:val="right"/>
              <w:rPr>
                <w:i/>
              </w:rPr>
            </w:pPr>
          </w:p>
        </w:tc>
      </w:tr>
      <w:tr w:rsidR="00652AAE" w:rsidRPr="001559E4" w:rsidTr="00C14330">
        <w:trPr>
          <w:trHeight w:val="391"/>
        </w:trPr>
        <w:tc>
          <w:tcPr>
            <w:tcW w:w="1999" w:type="dxa"/>
            <w:vMerge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С</w:t>
            </w:r>
          </w:p>
        </w:tc>
        <w:tc>
          <w:tcPr>
            <w:tcW w:w="1063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М</w:t>
            </w:r>
          </w:p>
        </w:tc>
        <w:tc>
          <w:tcPr>
            <w:tcW w:w="955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С</w:t>
            </w:r>
          </w:p>
        </w:tc>
        <w:tc>
          <w:tcPr>
            <w:tcW w:w="1020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М</w:t>
            </w:r>
          </w:p>
        </w:tc>
        <w:tc>
          <w:tcPr>
            <w:tcW w:w="594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С</w:t>
            </w:r>
          </w:p>
        </w:tc>
        <w:tc>
          <w:tcPr>
            <w:tcW w:w="645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М</w:t>
            </w:r>
          </w:p>
        </w:tc>
        <w:tc>
          <w:tcPr>
            <w:tcW w:w="983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С</w:t>
            </w:r>
          </w:p>
        </w:tc>
        <w:tc>
          <w:tcPr>
            <w:tcW w:w="1049" w:type="dxa"/>
          </w:tcPr>
          <w:p w:rsidR="00652AAE" w:rsidRPr="001559E4" w:rsidRDefault="00652AAE" w:rsidP="00694F73">
            <w:pPr>
              <w:jc w:val="center"/>
              <w:rPr>
                <w:b/>
              </w:rPr>
            </w:pPr>
            <w:r w:rsidRPr="001559E4">
              <w:rPr>
                <w:b/>
              </w:rPr>
              <w:t>М</w:t>
            </w:r>
          </w:p>
        </w:tc>
        <w:tc>
          <w:tcPr>
            <w:tcW w:w="748" w:type="dxa"/>
          </w:tcPr>
          <w:p w:rsidR="00652AAE" w:rsidRPr="001559E4" w:rsidRDefault="00652AAE" w:rsidP="00694F73">
            <w:pPr>
              <w:jc w:val="center"/>
              <w:rPr>
                <w:b/>
                <w:i/>
              </w:rPr>
            </w:pPr>
            <w:r w:rsidRPr="001559E4">
              <w:rPr>
                <w:b/>
                <w:i/>
              </w:rPr>
              <w:t>С</w:t>
            </w:r>
          </w:p>
        </w:tc>
        <w:tc>
          <w:tcPr>
            <w:tcW w:w="807" w:type="dxa"/>
          </w:tcPr>
          <w:p w:rsidR="00652AAE" w:rsidRPr="001559E4" w:rsidRDefault="00652AAE" w:rsidP="00694F73">
            <w:pPr>
              <w:jc w:val="center"/>
              <w:rPr>
                <w:b/>
                <w:i/>
              </w:rPr>
            </w:pPr>
            <w:r w:rsidRPr="001559E4">
              <w:rPr>
                <w:b/>
                <w:i/>
              </w:rPr>
              <w:t>М</w:t>
            </w:r>
          </w:p>
        </w:tc>
      </w:tr>
      <w:tr w:rsidR="00C14330" w:rsidRPr="001559E4" w:rsidTr="00C14330">
        <w:trPr>
          <w:trHeight w:val="411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  <w:tr w:rsidR="00C14330" w:rsidRPr="001559E4" w:rsidTr="00C2612C">
        <w:trPr>
          <w:trHeight w:val="416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  <w:tr w:rsidR="00C14330" w:rsidRPr="001559E4" w:rsidTr="003902A7">
        <w:trPr>
          <w:trHeight w:val="422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  <w:tr w:rsidR="00C14330" w:rsidRPr="001559E4" w:rsidTr="00A464AC">
        <w:trPr>
          <w:trHeight w:val="415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  <w:tr w:rsidR="00C14330" w:rsidRPr="001559E4" w:rsidTr="001C7168">
        <w:trPr>
          <w:trHeight w:val="407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  <w:tr w:rsidR="00C14330" w:rsidRPr="001559E4" w:rsidTr="00131837">
        <w:trPr>
          <w:trHeight w:val="426"/>
        </w:trPr>
        <w:tc>
          <w:tcPr>
            <w:tcW w:w="199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594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C14330" w:rsidRPr="001559E4" w:rsidRDefault="00C14330" w:rsidP="00694F73">
            <w:pPr>
              <w:jc w:val="center"/>
              <w:rPr>
                <w:b/>
              </w:rPr>
            </w:pPr>
          </w:p>
        </w:tc>
        <w:tc>
          <w:tcPr>
            <w:tcW w:w="748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  <w:tc>
          <w:tcPr>
            <w:tcW w:w="807" w:type="dxa"/>
          </w:tcPr>
          <w:p w:rsidR="00C14330" w:rsidRPr="001559E4" w:rsidRDefault="00C14330" w:rsidP="00694F73">
            <w:pPr>
              <w:jc w:val="center"/>
              <w:rPr>
                <w:b/>
                <w:i/>
              </w:rPr>
            </w:pPr>
          </w:p>
        </w:tc>
      </w:tr>
    </w:tbl>
    <w:p w:rsidR="00652AAE" w:rsidRPr="00C14330" w:rsidRDefault="00F321DC" w:rsidP="00C14330">
      <w:pPr>
        <w:spacing w:line="276" w:lineRule="auto"/>
        <w:ind w:firstLine="708"/>
        <w:jc w:val="both"/>
        <w:rPr>
          <w:b/>
        </w:rPr>
      </w:pPr>
      <w:r>
        <w:rPr>
          <w:b/>
        </w:rPr>
        <w:t>Итоги</w:t>
      </w:r>
      <w:r w:rsidR="00C14330" w:rsidRPr="00C14330">
        <w:rPr>
          <w:b/>
        </w:rPr>
        <w:t>:</w:t>
      </w:r>
    </w:p>
    <w:p w:rsidR="00C14330" w:rsidRPr="00C14330" w:rsidRDefault="00C14330" w:rsidP="00C14330">
      <w:pPr>
        <w:spacing w:line="276" w:lineRule="auto"/>
        <w:ind w:firstLine="708"/>
        <w:jc w:val="both"/>
        <w:rPr>
          <w:b/>
        </w:rPr>
      </w:pPr>
      <w:r w:rsidRPr="00C14330">
        <w:rPr>
          <w:b/>
        </w:rPr>
        <w:t>ОО</w:t>
      </w:r>
      <w:r>
        <w:rPr>
          <w:b/>
        </w:rPr>
        <w:t xml:space="preserve"> «</w:t>
      </w:r>
      <w:r w:rsidRPr="00C14330">
        <w:rPr>
          <w:b/>
        </w:rPr>
        <w:t>Социально-коммуникативное развитие»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Низки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 xml:space="preserve">  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Средни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Высоки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Pr="00C14330" w:rsidRDefault="00C14330" w:rsidP="00C14330">
      <w:pPr>
        <w:spacing w:line="276" w:lineRule="auto"/>
        <w:ind w:firstLine="708"/>
        <w:jc w:val="both"/>
        <w:rPr>
          <w:b/>
        </w:rPr>
      </w:pPr>
      <w:r w:rsidRPr="00C14330">
        <w:rPr>
          <w:b/>
        </w:rPr>
        <w:t>ОО</w:t>
      </w:r>
      <w:r>
        <w:rPr>
          <w:b/>
        </w:rPr>
        <w:t xml:space="preserve"> «Познавательное</w:t>
      </w:r>
      <w:r w:rsidRPr="00C14330">
        <w:rPr>
          <w:b/>
        </w:rPr>
        <w:t xml:space="preserve"> развитие»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Низки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 xml:space="preserve">  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Средни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Высоки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Pr="00C14330" w:rsidRDefault="00C14330" w:rsidP="00C14330">
      <w:pPr>
        <w:spacing w:line="276" w:lineRule="auto"/>
        <w:ind w:firstLine="708"/>
        <w:jc w:val="both"/>
        <w:rPr>
          <w:b/>
        </w:rPr>
      </w:pPr>
      <w:r w:rsidRPr="00C14330">
        <w:rPr>
          <w:b/>
        </w:rPr>
        <w:t>ОО</w:t>
      </w:r>
      <w:r>
        <w:rPr>
          <w:b/>
        </w:rPr>
        <w:t xml:space="preserve"> «Речевое </w:t>
      </w:r>
      <w:r w:rsidRPr="00C14330">
        <w:rPr>
          <w:b/>
        </w:rPr>
        <w:t>развитие»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Низки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 xml:space="preserve">  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Средни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Высоки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Pr="00C14330" w:rsidRDefault="00C14330" w:rsidP="00C14330">
      <w:pPr>
        <w:spacing w:line="276" w:lineRule="auto"/>
        <w:ind w:firstLine="708"/>
        <w:jc w:val="both"/>
        <w:rPr>
          <w:b/>
        </w:rPr>
      </w:pPr>
      <w:r w:rsidRPr="00C14330">
        <w:rPr>
          <w:b/>
        </w:rPr>
        <w:t>ОО</w:t>
      </w:r>
      <w:r>
        <w:rPr>
          <w:b/>
        </w:rPr>
        <w:t xml:space="preserve"> «Художественно-эстетическое развитие</w:t>
      </w:r>
      <w:r w:rsidRPr="00C14330">
        <w:rPr>
          <w:b/>
        </w:rPr>
        <w:t>»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Низки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 xml:space="preserve">  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Средни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Высоки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Pr="00C14330" w:rsidRDefault="00C14330" w:rsidP="00C14330">
      <w:pPr>
        <w:spacing w:line="276" w:lineRule="auto"/>
        <w:ind w:firstLine="708"/>
        <w:jc w:val="both"/>
        <w:rPr>
          <w:b/>
        </w:rPr>
      </w:pPr>
      <w:r w:rsidRPr="00C14330">
        <w:rPr>
          <w:b/>
        </w:rPr>
        <w:t>ОО</w:t>
      </w:r>
      <w:r>
        <w:rPr>
          <w:b/>
        </w:rPr>
        <w:t xml:space="preserve"> «Физическое  </w:t>
      </w:r>
      <w:r w:rsidRPr="00C14330">
        <w:rPr>
          <w:b/>
        </w:rPr>
        <w:t>развитие»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Низки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 xml:space="preserve">  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Средни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Высоки</w:t>
      </w:r>
      <w:proofErr w:type="gramStart"/>
      <w:r>
        <w:rPr>
          <w:rFonts w:ascii="Bookman Old Style" w:hAnsi="Bookman Old Style"/>
        </w:rPr>
        <w:t>й-</w:t>
      </w:r>
      <w:proofErr w:type="gramEnd"/>
      <w:r>
        <w:rPr>
          <w:rFonts w:ascii="Bookman Old Style" w:hAnsi="Bookman Old Style"/>
        </w:rPr>
        <w:t>(  кол-во детей)-_______%</w:t>
      </w:r>
    </w:p>
    <w:p w:rsidR="00F321DC" w:rsidRDefault="00F321DC" w:rsidP="00C14330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321DC">
        <w:rPr>
          <w:rFonts w:ascii="Bookman Old Style" w:hAnsi="Bookman Old Style"/>
          <w:b/>
        </w:rPr>
        <w:t>Общие выводы:</w:t>
      </w:r>
      <w:r>
        <w:rPr>
          <w:rFonts w:ascii="Bookman Old Style" w:hAnsi="Bookman Old Style"/>
          <w:b/>
        </w:rPr>
        <w:t>_____________________________________________________</w:t>
      </w:r>
    </w:p>
    <w:p w:rsidR="00F321DC" w:rsidRPr="00F321DC" w:rsidRDefault="00F321DC" w:rsidP="00C14330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_____________________________________________________________________</w:t>
      </w: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F321DC" w:rsidRPr="00F321DC" w:rsidRDefault="00F321DC" w:rsidP="00C14330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321DC">
        <w:rPr>
          <w:rFonts w:ascii="Bookman Old Style" w:hAnsi="Bookman Old Style"/>
          <w:b/>
        </w:rPr>
        <w:t>Данные подсчеты проводятся 2 раза в год</w:t>
      </w:r>
      <w:r>
        <w:rPr>
          <w:rFonts w:ascii="Bookman Old Style" w:hAnsi="Bookman Old Style"/>
          <w:b/>
        </w:rPr>
        <w:t xml:space="preserve">  </w:t>
      </w:r>
      <w:proofErr w:type="gramStart"/>
      <w:r w:rsidRPr="00F321DC">
        <w:rPr>
          <w:rFonts w:ascii="Bookman Old Style" w:hAnsi="Bookman Old Style"/>
          <w:b/>
        </w:rPr>
        <w:t xml:space="preserve">( </w:t>
      </w:r>
      <w:proofErr w:type="gramEnd"/>
      <w:r w:rsidRPr="00F321DC">
        <w:rPr>
          <w:rFonts w:ascii="Bookman Old Style" w:hAnsi="Bookman Old Style"/>
          <w:b/>
        </w:rPr>
        <w:t>сентябрь, май)</w:t>
      </w:r>
    </w:p>
    <w:p w:rsidR="00F321DC" w:rsidRPr="00F321DC" w:rsidRDefault="00F321DC" w:rsidP="00C14330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  <w:r w:rsidRPr="00F321DC">
        <w:rPr>
          <w:rFonts w:ascii="Bookman Old Style" w:hAnsi="Bookman Old Style"/>
          <w:b/>
        </w:rPr>
        <w:t>В конце года проводится сравнительный анализ</w:t>
      </w:r>
      <w:r>
        <w:rPr>
          <w:rFonts w:ascii="Bookman Old Style" w:hAnsi="Bookman Old Style"/>
          <w:b/>
        </w:rPr>
        <w:t xml:space="preserve"> по образовательным областям,  выводы</w:t>
      </w:r>
      <w:r w:rsidRPr="00F321DC">
        <w:rPr>
          <w:rFonts w:ascii="Bookman Old Style" w:hAnsi="Bookman Old Style"/>
          <w:b/>
        </w:rPr>
        <w:t>.</w:t>
      </w:r>
    </w:p>
    <w:p w:rsidR="00C14330" w:rsidRPr="00F321DC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  <w:b/>
        </w:rPr>
      </w:pP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C14330" w:rsidRDefault="00C14330" w:rsidP="00C14330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C14330" w:rsidRDefault="00C14330" w:rsidP="00A81A85">
      <w:pPr>
        <w:spacing w:after="200" w:line="276" w:lineRule="auto"/>
        <w:ind w:firstLine="708"/>
        <w:jc w:val="both"/>
        <w:rPr>
          <w:rFonts w:ascii="Bookman Old Style" w:hAnsi="Bookman Old Style"/>
        </w:rPr>
      </w:pPr>
    </w:p>
    <w:p w:rsidR="00A81A85" w:rsidRDefault="00A81A85" w:rsidP="00A81A85">
      <w:pPr>
        <w:spacing w:after="200"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A81A85" w:rsidRDefault="00A81A85" w:rsidP="00A81A85">
      <w:pPr>
        <w:spacing w:after="200"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A81A85" w:rsidRDefault="00A81A85" w:rsidP="00A81A85">
      <w:pPr>
        <w:spacing w:line="276" w:lineRule="auto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8B050D" w:rsidRDefault="008B050D"/>
    <w:sectPr w:rsidR="008B050D" w:rsidSect="0065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9"/>
    <w:rsid w:val="0019574F"/>
    <w:rsid w:val="00501D49"/>
    <w:rsid w:val="005A71E9"/>
    <w:rsid w:val="00652AAE"/>
    <w:rsid w:val="008B050D"/>
    <w:rsid w:val="00A81A85"/>
    <w:rsid w:val="00C14330"/>
    <w:rsid w:val="00F321DC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1A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2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1A8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2A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7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2016-06-29T08:37:00Z</cp:lastPrinted>
  <dcterms:created xsi:type="dcterms:W3CDTF">2016-06-21T07:00:00Z</dcterms:created>
  <dcterms:modified xsi:type="dcterms:W3CDTF">2021-01-28T07:24:00Z</dcterms:modified>
</cp:coreProperties>
</file>